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1D9829" w14:textId="77777777" w:rsidR="00F40B72" w:rsidRDefault="00F40B72">
      <w:pPr>
        <w:jc w:val="center"/>
        <w:rPr>
          <w:rFonts w:ascii="Arial" w:eastAsia="Arial" w:hAnsi="Arial" w:cs="Arial"/>
          <w:sz w:val="24"/>
          <w:szCs w:val="24"/>
        </w:rPr>
      </w:pPr>
      <w:bookmarkStart w:id="0" w:name="_GoBack"/>
      <w:bookmarkEnd w:id="0"/>
    </w:p>
    <w:p w14:paraId="4D632E31" w14:textId="77777777" w:rsidR="00F40B72" w:rsidRDefault="00F40B72">
      <w:pPr>
        <w:jc w:val="center"/>
        <w:rPr>
          <w:rFonts w:ascii="Arial" w:eastAsia="Arial" w:hAnsi="Arial" w:cs="Arial"/>
          <w:sz w:val="24"/>
          <w:szCs w:val="24"/>
        </w:rPr>
      </w:pPr>
    </w:p>
    <w:p w14:paraId="70EFEAB6" w14:textId="77777777" w:rsidR="00F40B72" w:rsidRDefault="00F40B72">
      <w:pPr>
        <w:jc w:val="center"/>
        <w:rPr>
          <w:rFonts w:ascii="Arial" w:eastAsia="Arial" w:hAnsi="Arial" w:cs="Arial"/>
          <w:sz w:val="24"/>
          <w:szCs w:val="24"/>
        </w:rPr>
      </w:pPr>
    </w:p>
    <w:p w14:paraId="3F0C2AF3" w14:textId="77777777" w:rsidR="00F40B72" w:rsidRPr="00D570B9" w:rsidRDefault="00F40B72">
      <w:pPr>
        <w:jc w:val="center"/>
        <w:rPr>
          <w:rFonts w:ascii="Arial" w:eastAsia="Arial" w:hAnsi="Arial" w:cs="Arial"/>
          <w:b/>
          <w:sz w:val="24"/>
          <w:szCs w:val="24"/>
        </w:rPr>
      </w:pPr>
    </w:p>
    <w:p w14:paraId="50D8763B" w14:textId="77777777" w:rsidR="00F40B72" w:rsidRPr="00D570B9" w:rsidRDefault="00F00CBB">
      <w:pPr>
        <w:jc w:val="center"/>
        <w:rPr>
          <w:rFonts w:ascii="Arial" w:eastAsia="Arial" w:hAnsi="Arial" w:cs="Arial"/>
          <w:b/>
          <w:sz w:val="24"/>
          <w:szCs w:val="24"/>
        </w:rPr>
      </w:pPr>
      <w:r w:rsidRPr="00D570B9">
        <w:rPr>
          <w:rFonts w:ascii="Arial" w:eastAsia="Arial" w:hAnsi="Arial" w:cs="Arial"/>
          <w:b/>
          <w:sz w:val="24"/>
          <w:szCs w:val="24"/>
        </w:rPr>
        <w:t xml:space="preserve"> Společný tiskový komentář</w:t>
      </w:r>
    </w:p>
    <w:p w14:paraId="1B3C99FD" w14:textId="77777777" w:rsidR="00F40B72" w:rsidRDefault="00F40B72">
      <w:pPr>
        <w:rPr>
          <w:rFonts w:ascii="Arial" w:eastAsia="Arial" w:hAnsi="Arial" w:cs="Arial"/>
          <w:sz w:val="24"/>
          <w:szCs w:val="24"/>
        </w:rPr>
      </w:pPr>
    </w:p>
    <w:p w14:paraId="7EEC4F9B" w14:textId="77777777" w:rsidR="00F40B72" w:rsidRDefault="00F00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b/>
          <w:sz w:val="40"/>
          <w:szCs w:val="40"/>
        </w:rPr>
      </w:pPr>
      <w:r>
        <w:rPr>
          <w:rFonts w:ascii="Arial" w:eastAsia="Arial" w:hAnsi="Arial" w:cs="Arial"/>
          <w:b/>
          <w:sz w:val="40"/>
          <w:szCs w:val="40"/>
        </w:rPr>
        <w:t>Uhlí končí, ač se Trump staví na hlavu</w:t>
      </w:r>
    </w:p>
    <w:p w14:paraId="4AB6DF33" w14:textId="77777777" w:rsidR="00F40B72" w:rsidRDefault="00F00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sz w:val="40"/>
          <w:szCs w:val="40"/>
        </w:rPr>
      </w:pPr>
      <w:r>
        <w:rPr>
          <w:rFonts w:ascii="Arial" w:eastAsia="Arial" w:hAnsi="Arial" w:cs="Arial"/>
          <w:sz w:val="40"/>
          <w:szCs w:val="40"/>
        </w:rPr>
        <w:t>Reakce na rozhodnutí D. J. Trumpa zrušit Obamův plán pro čistou energii</w:t>
      </w:r>
    </w:p>
    <w:p w14:paraId="649D84F6" w14:textId="77777777" w:rsidR="00D570B9" w:rsidRDefault="00D57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sz w:val="40"/>
          <w:szCs w:val="40"/>
        </w:rPr>
      </w:pPr>
    </w:p>
    <w:p w14:paraId="0A02BE9E" w14:textId="77777777" w:rsidR="00F40B72" w:rsidRDefault="00F4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sz w:val="40"/>
          <w:szCs w:val="40"/>
        </w:rPr>
      </w:pPr>
    </w:p>
    <w:p w14:paraId="2657606F" w14:textId="77777777" w:rsidR="00D570B9" w:rsidRDefault="00D57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Arial" w:hAnsi="Arial" w:cs="Arial"/>
          <w:sz w:val="40"/>
          <w:szCs w:val="40"/>
        </w:rPr>
      </w:pPr>
    </w:p>
    <w:p w14:paraId="011B3C2C" w14:textId="77777777" w:rsidR="00F40B72" w:rsidRPr="00D570B9" w:rsidRDefault="00F00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Arial" w:hAnsi="Arial" w:cs="Arial"/>
          <w:color w:val="auto"/>
          <w:sz w:val="24"/>
          <w:szCs w:val="24"/>
        </w:rPr>
      </w:pPr>
      <w:r w:rsidRPr="00D570B9">
        <w:rPr>
          <w:rFonts w:ascii="Arial" w:eastAsia="Arial" w:hAnsi="Arial" w:cs="Arial"/>
          <w:color w:val="auto"/>
          <w:sz w:val="24"/>
          <w:szCs w:val="24"/>
        </w:rPr>
        <w:t xml:space="preserve"> </w:t>
      </w:r>
      <w:r w:rsidR="006D3757" w:rsidRPr="00D570B9">
        <w:rPr>
          <w:rFonts w:ascii="Arial" w:eastAsia="Arial" w:hAnsi="Arial" w:cs="Arial"/>
          <w:color w:val="auto"/>
          <w:sz w:val="24"/>
          <w:szCs w:val="24"/>
        </w:rPr>
        <w:t xml:space="preserve">úterý 28. </w:t>
      </w:r>
      <w:r w:rsidRPr="00D570B9">
        <w:rPr>
          <w:rFonts w:ascii="Arial" w:eastAsia="Arial" w:hAnsi="Arial" w:cs="Arial"/>
          <w:color w:val="auto"/>
          <w:sz w:val="24"/>
          <w:szCs w:val="24"/>
        </w:rPr>
        <w:t>března 2017</w:t>
      </w:r>
    </w:p>
    <w:p w14:paraId="0CE02028" w14:textId="77777777" w:rsidR="00F40B72" w:rsidRDefault="00F4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Arial" w:hAnsi="Arial" w:cs="Arial"/>
          <w:sz w:val="24"/>
          <w:szCs w:val="24"/>
        </w:rPr>
      </w:pPr>
    </w:p>
    <w:p w14:paraId="0D3E4C8B" w14:textId="77777777" w:rsidR="00F40B72" w:rsidRDefault="00F00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4"/>
          <w:szCs w:val="24"/>
          <w:highlight w:val="white"/>
        </w:rPr>
      </w:pPr>
      <w:r>
        <w:rPr>
          <w:rFonts w:ascii="Arial" w:eastAsia="Arial" w:hAnsi="Arial" w:cs="Arial"/>
          <w:sz w:val="24"/>
          <w:szCs w:val="24"/>
          <w:highlight w:val="white"/>
        </w:rPr>
        <w:t xml:space="preserve">Prezident USA Donald. J. Trump dnes nařídil zrušit program svého předchůdce Baracka Obamy </w:t>
      </w:r>
      <w:r w:rsidR="006D3757">
        <w:rPr>
          <w:rFonts w:ascii="Arial" w:eastAsia="Arial" w:hAnsi="Arial" w:cs="Arial"/>
          <w:sz w:val="24"/>
          <w:szCs w:val="24"/>
          <w:highlight w:val="white"/>
        </w:rPr>
        <w:t xml:space="preserve">ke </w:t>
      </w:r>
      <w:r>
        <w:rPr>
          <w:rFonts w:ascii="Arial" w:eastAsia="Arial" w:hAnsi="Arial" w:cs="Arial"/>
          <w:sz w:val="24"/>
          <w:szCs w:val="24"/>
          <w:highlight w:val="white"/>
        </w:rPr>
        <w:t xml:space="preserve">snížení znečištění z uhelných elektráren a </w:t>
      </w:r>
      <w:r w:rsidR="006D3757">
        <w:rPr>
          <w:rFonts w:ascii="Arial" w:eastAsia="Arial" w:hAnsi="Arial" w:cs="Arial"/>
          <w:sz w:val="24"/>
          <w:szCs w:val="24"/>
          <w:highlight w:val="white"/>
        </w:rPr>
        <w:t xml:space="preserve">na </w:t>
      </w:r>
      <w:r>
        <w:rPr>
          <w:rFonts w:ascii="Arial" w:eastAsia="Arial" w:hAnsi="Arial" w:cs="Arial"/>
          <w:sz w:val="24"/>
          <w:szCs w:val="24"/>
          <w:highlight w:val="white"/>
        </w:rPr>
        <w:t xml:space="preserve">podporu čisté energetiky. </w:t>
      </w:r>
      <w:r w:rsidR="006D3757">
        <w:rPr>
          <w:rFonts w:ascii="Arial" w:eastAsia="Arial" w:hAnsi="Arial" w:cs="Arial"/>
          <w:sz w:val="24"/>
          <w:szCs w:val="24"/>
          <w:highlight w:val="white"/>
        </w:rPr>
        <w:t xml:space="preserve">Akt nemá okamžitou účinnost, jde o zahájení </w:t>
      </w:r>
      <w:r w:rsidR="00D570B9">
        <w:rPr>
          <w:rFonts w:ascii="Arial" w:eastAsia="Arial" w:hAnsi="Arial" w:cs="Arial"/>
          <w:sz w:val="24"/>
          <w:szCs w:val="24"/>
          <w:highlight w:val="white"/>
        </w:rPr>
        <w:t xml:space="preserve">delšího </w:t>
      </w:r>
      <w:r w:rsidR="006D3757">
        <w:rPr>
          <w:rFonts w:ascii="Arial" w:eastAsia="Arial" w:hAnsi="Arial" w:cs="Arial"/>
          <w:sz w:val="24"/>
          <w:szCs w:val="24"/>
          <w:highlight w:val="white"/>
        </w:rPr>
        <w:t xml:space="preserve">procesu. </w:t>
      </w:r>
      <w:r>
        <w:rPr>
          <w:rFonts w:ascii="Arial" w:eastAsia="Arial" w:hAnsi="Arial" w:cs="Arial"/>
          <w:sz w:val="24"/>
          <w:szCs w:val="24"/>
          <w:highlight w:val="white"/>
        </w:rPr>
        <w:t xml:space="preserve">Zároveň však nerealizoval svůj původní záměr vypovědět globální </w:t>
      </w:r>
      <w:r w:rsidR="006D3757">
        <w:rPr>
          <w:rFonts w:ascii="Arial" w:eastAsia="Arial" w:hAnsi="Arial" w:cs="Arial"/>
          <w:sz w:val="24"/>
          <w:szCs w:val="24"/>
          <w:highlight w:val="white"/>
        </w:rPr>
        <w:t>dohodu</w:t>
      </w:r>
      <w:r w:rsidR="00D570B9">
        <w:rPr>
          <w:rFonts w:ascii="Arial" w:eastAsia="Arial" w:hAnsi="Arial" w:cs="Arial"/>
          <w:sz w:val="24"/>
          <w:szCs w:val="24"/>
          <w:highlight w:val="white"/>
        </w:rPr>
        <w:t xml:space="preserve"> z Paříže </w:t>
      </w:r>
      <w:r>
        <w:rPr>
          <w:rFonts w:ascii="Arial" w:eastAsia="Arial" w:hAnsi="Arial" w:cs="Arial"/>
          <w:sz w:val="24"/>
          <w:szCs w:val="24"/>
          <w:highlight w:val="white"/>
        </w:rPr>
        <w:t xml:space="preserve">o snižování emisí skleníkových plynů. </w:t>
      </w:r>
    </w:p>
    <w:p w14:paraId="2A0B1D58" w14:textId="77777777" w:rsidR="00F40B72" w:rsidRDefault="00F4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4"/>
          <w:szCs w:val="24"/>
          <w:highlight w:val="white"/>
        </w:rPr>
      </w:pPr>
    </w:p>
    <w:p w14:paraId="07717494" w14:textId="77777777" w:rsidR="00F40B72" w:rsidRDefault="006D3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rFonts w:ascii="Arial" w:eastAsia="Arial" w:hAnsi="Arial" w:cs="Arial"/>
          <w:sz w:val="24"/>
          <w:szCs w:val="24"/>
          <w:highlight w:val="white"/>
        </w:rPr>
      </w:pPr>
      <w:r>
        <w:rPr>
          <w:rFonts w:ascii="Arial" w:eastAsia="Arial" w:hAnsi="Arial" w:cs="Arial"/>
          <w:sz w:val="24"/>
          <w:szCs w:val="24"/>
          <w:highlight w:val="white"/>
        </w:rPr>
        <w:t xml:space="preserve">Zrušený </w:t>
      </w:r>
      <w:r w:rsidR="00F00CBB">
        <w:rPr>
          <w:rFonts w:ascii="Arial" w:eastAsia="Arial" w:hAnsi="Arial" w:cs="Arial"/>
          <w:sz w:val="24"/>
          <w:szCs w:val="24"/>
          <w:highlight w:val="white"/>
        </w:rPr>
        <w:t>Obamův “Clean Power Plan” požad</w:t>
      </w:r>
      <w:r>
        <w:rPr>
          <w:rFonts w:ascii="Arial" w:eastAsia="Arial" w:hAnsi="Arial" w:cs="Arial"/>
          <w:sz w:val="24"/>
          <w:szCs w:val="24"/>
          <w:highlight w:val="white"/>
        </w:rPr>
        <w:t>oval</w:t>
      </w:r>
      <w:r w:rsidR="00F00CBB">
        <w:rPr>
          <w:rFonts w:ascii="Arial" w:eastAsia="Arial" w:hAnsi="Arial" w:cs="Arial"/>
          <w:sz w:val="24"/>
          <w:szCs w:val="24"/>
          <w:highlight w:val="white"/>
        </w:rPr>
        <w:t>, aby energetik</w:t>
      </w:r>
      <w:r>
        <w:rPr>
          <w:rFonts w:ascii="Arial" w:eastAsia="Arial" w:hAnsi="Arial" w:cs="Arial"/>
          <w:sz w:val="24"/>
          <w:szCs w:val="24"/>
          <w:highlight w:val="white"/>
        </w:rPr>
        <w:t>a</w:t>
      </w:r>
      <w:r w:rsidR="00F00CBB">
        <w:rPr>
          <w:rFonts w:ascii="Arial" w:eastAsia="Arial" w:hAnsi="Arial" w:cs="Arial"/>
          <w:sz w:val="24"/>
          <w:szCs w:val="24"/>
          <w:highlight w:val="white"/>
        </w:rPr>
        <w:t xml:space="preserve"> do roku 2030 snížil</w:t>
      </w:r>
      <w:r>
        <w:rPr>
          <w:rFonts w:ascii="Arial" w:eastAsia="Arial" w:hAnsi="Arial" w:cs="Arial"/>
          <w:sz w:val="24"/>
          <w:szCs w:val="24"/>
          <w:highlight w:val="white"/>
        </w:rPr>
        <w:t>a</w:t>
      </w:r>
      <w:r w:rsidR="00F00CBB">
        <w:rPr>
          <w:rFonts w:ascii="Arial" w:eastAsia="Arial" w:hAnsi="Arial" w:cs="Arial"/>
          <w:sz w:val="24"/>
          <w:szCs w:val="24"/>
          <w:highlight w:val="white"/>
        </w:rPr>
        <w:t xml:space="preserve"> emise oxidu uhličitého o 32 % oproti úrovni v roce 2005 </w:t>
      </w:r>
      <w:r w:rsidR="00F00CBB">
        <w:rPr>
          <w:rFonts w:ascii="Arial" w:eastAsia="Arial" w:hAnsi="Arial" w:cs="Arial"/>
          <w:sz w:val="24"/>
          <w:szCs w:val="24"/>
        </w:rPr>
        <w:t>[1]</w:t>
      </w:r>
      <w:r w:rsidR="00F00CBB">
        <w:rPr>
          <w:rFonts w:ascii="Arial" w:eastAsia="Arial" w:hAnsi="Arial" w:cs="Arial"/>
          <w:sz w:val="24"/>
          <w:szCs w:val="24"/>
          <w:highlight w:val="white"/>
        </w:rPr>
        <w:t>.</w:t>
      </w:r>
      <w:r>
        <w:rPr>
          <w:rFonts w:ascii="Arial" w:eastAsia="Arial" w:hAnsi="Arial" w:cs="Arial"/>
          <w:sz w:val="24"/>
          <w:szCs w:val="24"/>
          <w:highlight w:val="white"/>
        </w:rPr>
        <w:t xml:space="preserve"> </w:t>
      </w:r>
      <w:r w:rsidR="00F00CBB">
        <w:rPr>
          <w:rFonts w:ascii="Arial" w:eastAsia="Arial" w:hAnsi="Arial" w:cs="Arial"/>
          <w:sz w:val="24"/>
          <w:szCs w:val="24"/>
          <w:highlight w:val="white"/>
        </w:rPr>
        <w:t xml:space="preserve">Trend ústupu od uhlí je ale v USA silný a pravděpodobně se nezastaví ani kvůli Trumpovi. </w:t>
      </w:r>
      <w:r>
        <w:rPr>
          <w:rFonts w:ascii="Arial" w:eastAsia="Arial" w:hAnsi="Arial" w:cs="Arial"/>
          <w:sz w:val="24"/>
          <w:szCs w:val="24"/>
          <w:highlight w:val="white"/>
        </w:rPr>
        <w:t xml:space="preserve">Vede k tomu </w:t>
      </w:r>
      <w:r w:rsidR="00F00CBB">
        <w:rPr>
          <w:rFonts w:ascii="Arial" w:eastAsia="Arial" w:hAnsi="Arial" w:cs="Arial"/>
          <w:sz w:val="24"/>
          <w:szCs w:val="24"/>
          <w:highlight w:val="white"/>
        </w:rPr>
        <w:t>zastaralost uhelných elektráren, levný plyn a čím dál dostupnější obnovitelné zdroje energie, které vytlačují uhlí z pozice cenového šampiona. Uhelné elektrárny navíc čelí protestům místních lidí a žalobám na úhradu škod a zdravotních komplikací, které lidem vypouštěním znečištění do ovzduší a vody způsobují.</w:t>
      </w:r>
    </w:p>
    <w:p w14:paraId="2692050E" w14:textId="77777777" w:rsidR="00F40B72" w:rsidRDefault="00F4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4"/>
          <w:szCs w:val="24"/>
        </w:rPr>
      </w:pPr>
    </w:p>
    <w:p w14:paraId="4AD8BD85" w14:textId="77777777" w:rsidR="00F40B72" w:rsidRDefault="00F00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4"/>
          <w:szCs w:val="24"/>
          <w:highlight w:val="white"/>
        </w:rPr>
      </w:pPr>
      <w:r>
        <w:rPr>
          <w:rFonts w:ascii="Arial" w:eastAsia="Arial" w:hAnsi="Arial" w:cs="Arial"/>
          <w:sz w:val="24"/>
          <w:szCs w:val="24"/>
          <w:highlight w:val="white"/>
        </w:rPr>
        <w:t xml:space="preserve">Výroba elektřiny způsobuje třetinu amerických emisí skleníkových plynů. Uhlí bylo v USA ještě donedávna nejlevnějším zdrojem pro výrobu elektřiny a před deseti lety se na její výrobě podílelo více než polovinou. Nyní je to </w:t>
      </w:r>
      <w:r w:rsidR="006D3757">
        <w:rPr>
          <w:rFonts w:ascii="Arial" w:eastAsia="Arial" w:hAnsi="Arial" w:cs="Arial"/>
          <w:sz w:val="24"/>
          <w:szCs w:val="24"/>
          <w:highlight w:val="white"/>
        </w:rPr>
        <w:t xml:space="preserve">jen </w:t>
      </w:r>
      <w:r>
        <w:rPr>
          <w:rFonts w:ascii="Arial" w:eastAsia="Arial" w:hAnsi="Arial" w:cs="Arial"/>
          <w:sz w:val="24"/>
          <w:szCs w:val="24"/>
          <w:highlight w:val="white"/>
        </w:rPr>
        <w:t>40 %. Z původních 523 uhelných elektráren bylo 200 předčasně uzavřeno už před zveřejněním Clean Power Plan v srpnu 2015 [2]. Hlavním důvodem jejich odstavení byl</w:t>
      </w:r>
      <w:r w:rsidR="006D3757">
        <w:rPr>
          <w:rFonts w:ascii="Arial" w:eastAsia="Arial" w:hAnsi="Arial" w:cs="Arial"/>
          <w:sz w:val="24"/>
          <w:szCs w:val="24"/>
          <w:highlight w:val="white"/>
        </w:rPr>
        <w:t>a</w:t>
      </w:r>
      <w:r>
        <w:rPr>
          <w:rFonts w:ascii="Arial" w:eastAsia="Arial" w:hAnsi="Arial" w:cs="Arial"/>
          <w:sz w:val="24"/>
          <w:szCs w:val="24"/>
          <w:highlight w:val="white"/>
        </w:rPr>
        <w:t xml:space="preserve"> ve většině případů </w:t>
      </w:r>
      <w:r w:rsidR="006D3757">
        <w:rPr>
          <w:rFonts w:ascii="Arial" w:eastAsia="Arial" w:hAnsi="Arial" w:cs="Arial"/>
          <w:sz w:val="24"/>
          <w:szCs w:val="24"/>
          <w:highlight w:val="white"/>
        </w:rPr>
        <w:t>prostá ekonomika</w:t>
      </w:r>
      <w:r>
        <w:rPr>
          <w:rFonts w:ascii="Arial" w:eastAsia="Arial" w:hAnsi="Arial" w:cs="Arial"/>
          <w:sz w:val="24"/>
          <w:szCs w:val="24"/>
          <w:highlight w:val="white"/>
        </w:rPr>
        <w:t>. A odstavování pokračuje i v době vlády Donalda Trumpa</w:t>
      </w:r>
      <w:r w:rsidR="006D3757">
        <w:rPr>
          <w:rFonts w:ascii="Arial" w:eastAsia="Arial" w:hAnsi="Arial" w:cs="Arial"/>
          <w:sz w:val="24"/>
          <w:szCs w:val="24"/>
          <w:highlight w:val="white"/>
        </w:rPr>
        <w:t>,</w:t>
      </w:r>
      <w:r>
        <w:rPr>
          <w:rFonts w:ascii="Arial" w:eastAsia="Arial" w:hAnsi="Arial" w:cs="Arial"/>
          <w:sz w:val="24"/>
          <w:szCs w:val="24"/>
          <w:highlight w:val="white"/>
        </w:rPr>
        <w:t xml:space="preserve"> jak ukazuje poslední případ dvou uhelných elektráren ve státě Ohio [3]. Ani zpřístupnění státní půdy pro těžbu uhlí nepomohlo, těžaři nemají z ekonomických důvodů zájem otevírat nové doly [4].</w:t>
      </w:r>
    </w:p>
    <w:p w14:paraId="77EB67D3" w14:textId="77777777" w:rsidR="00F40B72" w:rsidRDefault="00F4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4"/>
          <w:szCs w:val="24"/>
          <w:highlight w:val="white"/>
        </w:rPr>
      </w:pPr>
    </w:p>
    <w:p w14:paraId="1CFAFD58" w14:textId="77777777" w:rsidR="00F40B72" w:rsidRDefault="00F00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4"/>
          <w:szCs w:val="24"/>
          <w:highlight w:val="white"/>
        </w:rPr>
      </w:pPr>
      <w:r>
        <w:rPr>
          <w:rFonts w:ascii="Arial" w:eastAsia="Arial" w:hAnsi="Arial" w:cs="Arial"/>
          <w:sz w:val="24"/>
          <w:szCs w:val="24"/>
          <w:highlight w:val="white"/>
        </w:rPr>
        <w:t xml:space="preserve">Klíčovou otázkou zůstává, jak rychle se americká energetika dekarbonizuje. </w:t>
      </w:r>
      <w:r w:rsidR="006D3757">
        <w:rPr>
          <w:rFonts w:ascii="Arial" w:eastAsia="Arial" w:hAnsi="Arial" w:cs="Arial"/>
          <w:sz w:val="24"/>
          <w:szCs w:val="24"/>
          <w:highlight w:val="white"/>
        </w:rPr>
        <w:t xml:space="preserve">Bez </w:t>
      </w:r>
      <w:r>
        <w:rPr>
          <w:rFonts w:ascii="Arial" w:eastAsia="Arial" w:hAnsi="Arial" w:cs="Arial"/>
          <w:sz w:val="24"/>
          <w:szCs w:val="24"/>
          <w:highlight w:val="white"/>
        </w:rPr>
        <w:t xml:space="preserve">federální regulace budou - jako ostatně za vlády řady Trumpových předchůdců - hrát důležitou roli jednotlivé státy a byznys. </w:t>
      </w:r>
      <w:r w:rsidR="006D3757">
        <w:rPr>
          <w:rFonts w:ascii="Arial" w:eastAsia="Arial" w:hAnsi="Arial" w:cs="Arial"/>
          <w:sz w:val="24"/>
          <w:szCs w:val="24"/>
          <w:highlight w:val="white"/>
        </w:rPr>
        <w:t xml:space="preserve">Regulace </w:t>
      </w:r>
      <w:r>
        <w:rPr>
          <w:rFonts w:ascii="Arial" w:eastAsia="Arial" w:hAnsi="Arial" w:cs="Arial"/>
          <w:sz w:val="24"/>
          <w:szCs w:val="24"/>
          <w:highlight w:val="white"/>
        </w:rPr>
        <w:t>v duchu Obamova plánu přijal</w:t>
      </w:r>
      <w:r w:rsidR="006D3757">
        <w:rPr>
          <w:rFonts w:ascii="Arial" w:eastAsia="Arial" w:hAnsi="Arial" w:cs="Arial"/>
          <w:sz w:val="24"/>
          <w:szCs w:val="24"/>
          <w:highlight w:val="white"/>
        </w:rPr>
        <w:t>a</w:t>
      </w:r>
      <w:r>
        <w:rPr>
          <w:rFonts w:ascii="Arial" w:eastAsia="Arial" w:hAnsi="Arial" w:cs="Arial"/>
          <w:sz w:val="24"/>
          <w:szCs w:val="24"/>
          <w:highlight w:val="white"/>
        </w:rPr>
        <w:t xml:space="preserve"> například Kalifornie, Connecticut, Massachusetts, Minnesota, New Hampshire, Oregon, Rhode Island, Vermont nebo Washington </w:t>
      </w:r>
      <w:r>
        <w:rPr>
          <w:rFonts w:ascii="Arial" w:eastAsia="Arial" w:hAnsi="Arial" w:cs="Arial"/>
          <w:sz w:val="24"/>
          <w:szCs w:val="24"/>
        </w:rPr>
        <w:t>[5].</w:t>
      </w:r>
    </w:p>
    <w:p w14:paraId="63D5DDD3" w14:textId="77777777" w:rsidR="00F40B72" w:rsidRDefault="00F4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4"/>
          <w:szCs w:val="24"/>
          <w:highlight w:val="white"/>
        </w:rPr>
      </w:pPr>
    </w:p>
    <w:p w14:paraId="1EABE516" w14:textId="77777777" w:rsidR="00F40B72" w:rsidRDefault="00F00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4"/>
          <w:szCs w:val="24"/>
          <w:highlight w:val="white"/>
        </w:rPr>
      </w:pPr>
      <w:r>
        <w:rPr>
          <w:rFonts w:ascii="Arial" w:eastAsia="Arial" w:hAnsi="Arial" w:cs="Arial"/>
          <w:sz w:val="24"/>
          <w:szCs w:val="24"/>
        </w:rPr>
        <w:t>E</w:t>
      </w:r>
      <w:r w:rsidR="00060B93">
        <w:rPr>
          <w:rFonts w:ascii="Arial" w:eastAsia="Arial" w:hAnsi="Arial" w:cs="Arial"/>
          <w:sz w:val="24"/>
          <w:szCs w:val="24"/>
        </w:rPr>
        <w:t xml:space="preserve">vropská unie </w:t>
      </w:r>
      <w:r>
        <w:rPr>
          <w:rFonts w:ascii="Arial" w:eastAsia="Arial" w:hAnsi="Arial" w:cs="Arial"/>
          <w:sz w:val="24"/>
          <w:szCs w:val="24"/>
        </w:rPr>
        <w:t>a Č</w:t>
      </w:r>
      <w:r w:rsidR="00060B93">
        <w:rPr>
          <w:rFonts w:ascii="Arial" w:eastAsia="Arial" w:hAnsi="Arial" w:cs="Arial"/>
          <w:sz w:val="24"/>
          <w:szCs w:val="24"/>
        </w:rPr>
        <w:t xml:space="preserve">R musí </w:t>
      </w:r>
      <w:r>
        <w:rPr>
          <w:rFonts w:ascii="Arial" w:eastAsia="Arial" w:hAnsi="Arial" w:cs="Arial"/>
          <w:sz w:val="24"/>
          <w:szCs w:val="24"/>
        </w:rPr>
        <w:t xml:space="preserve">srazit závislost na fosilních palivech </w:t>
      </w:r>
      <w:r w:rsidR="00060B93">
        <w:rPr>
          <w:rFonts w:ascii="Arial" w:eastAsia="Arial" w:hAnsi="Arial" w:cs="Arial"/>
          <w:sz w:val="24"/>
          <w:szCs w:val="24"/>
        </w:rPr>
        <w:t xml:space="preserve">nyní </w:t>
      </w:r>
      <w:r>
        <w:rPr>
          <w:rFonts w:ascii="Arial" w:eastAsia="Arial" w:hAnsi="Arial" w:cs="Arial"/>
          <w:sz w:val="24"/>
          <w:szCs w:val="24"/>
        </w:rPr>
        <w:t>ještě akutně</w:t>
      </w:r>
      <w:r w:rsidR="00060B93">
        <w:rPr>
          <w:rFonts w:ascii="Arial" w:eastAsia="Arial" w:hAnsi="Arial" w:cs="Arial"/>
          <w:sz w:val="24"/>
          <w:szCs w:val="24"/>
        </w:rPr>
        <w:t>ji</w:t>
      </w:r>
      <w:r>
        <w:rPr>
          <w:rFonts w:ascii="Arial" w:eastAsia="Arial" w:hAnsi="Arial" w:cs="Arial"/>
          <w:sz w:val="24"/>
          <w:szCs w:val="24"/>
        </w:rPr>
        <w:t>. Ropa, plyn i uhlí se do EU dováží převážně z Ruska a dalších nespolehlivých zemí. A fosilní paliva jsou také příčinou smogu.</w:t>
      </w:r>
    </w:p>
    <w:p w14:paraId="43803304" w14:textId="77777777" w:rsidR="00F40B72" w:rsidRDefault="00F4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4"/>
          <w:szCs w:val="24"/>
          <w:highlight w:val="white"/>
        </w:rPr>
      </w:pPr>
    </w:p>
    <w:p w14:paraId="2831F8DF" w14:textId="77777777" w:rsidR="00F40B72" w:rsidRDefault="00F00CBB">
      <w:pPr>
        <w:rPr>
          <w:rFonts w:ascii="Arial" w:eastAsia="Arial" w:hAnsi="Arial" w:cs="Arial"/>
          <w:sz w:val="24"/>
          <w:szCs w:val="24"/>
        </w:rPr>
      </w:pPr>
      <w:r>
        <w:rPr>
          <w:rFonts w:ascii="Arial" w:eastAsia="Arial" w:hAnsi="Arial" w:cs="Arial"/>
          <w:b/>
          <w:sz w:val="24"/>
          <w:szCs w:val="24"/>
        </w:rPr>
        <w:t>Jiří Koželouh, programový ředitel Hnutí DUHA, řekl:</w:t>
      </w:r>
    </w:p>
    <w:p w14:paraId="20254361" w14:textId="77777777" w:rsidR="00F40B72" w:rsidRDefault="00F00CBB">
      <w:pPr>
        <w:rPr>
          <w:rFonts w:ascii="Arial" w:eastAsia="Arial" w:hAnsi="Arial" w:cs="Arial"/>
          <w:sz w:val="24"/>
          <w:szCs w:val="24"/>
        </w:rPr>
      </w:pPr>
      <w:r>
        <w:rPr>
          <w:rFonts w:ascii="Arial" w:eastAsia="Arial" w:hAnsi="Arial" w:cs="Arial"/>
          <w:i/>
          <w:sz w:val="24"/>
          <w:szCs w:val="24"/>
        </w:rPr>
        <w:t xml:space="preserve">„Donald Trump chce zastavit zavírání uhelných elektráren, což mu nejspíš nepovede. </w:t>
      </w:r>
      <w:r w:rsidR="00060B93">
        <w:rPr>
          <w:rFonts w:ascii="Arial" w:eastAsia="Arial" w:hAnsi="Arial" w:cs="Arial"/>
          <w:i/>
          <w:sz w:val="24"/>
          <w:szCs w:val="24"/>
        </w:rPr>
        <w:t xml:space="preserve">U nás </w:t>
      </w:r>
      <w:r>
        <w:rPr>
          <w:rFonts w:ascii="Arial" w:eastAsia="Arial" w:hAnsi="Arial" w:cs="Arial"/>
          <w:i/>
          <w:sz w:val="24"/>
          <w:szCs w:val="24"/>
        </w:rPr>
        <w:t xml:space="preserve">by neměl co na práci. Odstavování našich zastaralých elektráren ještě </w:t>
      </w:r>
      <w:r w:rsidR="00060B93">
        <w:rPr>
          <w:rFonts w:ascii="Arial" w:eastAsia="Arial" w:hAnsi="Arial" w:cs="Arial"/>
          <w:i/>
          <w:sz w:val="24"/>
          <w:szCs w:val="24"/>
        </w:rPr>
        <w:t xml:space="preserve">ani </w:t>
      </w:r>
      <w:r>
        <w:rPr>
          <w:rFonts w:ascii="Arial" w:eastAsia="Arial" w:hAnsi="Arial" w:cs="Arial"/>
          <w:i/>
          <w:sz w:val="24"/>
          <w:szCs w:val="24"/>
        </w:rPr>
        <w:t>pořádně nezačalo. Přitom i my potřebujeme vyčistit ovzduší od smogu. Trump netrump, je nejvyšší čas doopravdy rozběhnout odstavování nepotřebných uhelných elektráren a naopak rozhýbat občanské a obecní projekty čistých domácích obnovitelných zdrojů, srazit plýtvání energií</w:t>
      </w:r>
      <w:r w:rsidR="00060B93">
        <w:rPr>
          <w:rFonts w:ascii="Arial" w:eastAsia="Arial" w:hAnsi="Arial" w:cs="Arial"/>
          <w:i/>
          <w:sz w:val="24"/>
          <w:szCs w:val="24"/>
        </w:rPr>
        <w:t xml:space="preserve"> a vyčistit ovzduší od smogu</w:t>
      </w:r>
      <w:r>
        <w:rPr>
          <w:rFonts w:ascii="Arial" w:eastAsia="Arial" w:hAnsi="Arial" w:cs="Arial"/>
          <w:i/>
          <w:sz w:val="24"/>
          <w:szCs w:val="24"/>
        </w:rPr>
        <w:t>.“</w:t>
      </w:r>
    </w:p>
    <w:p w14:paraId="509694D6" w14:textId="77777777" w:rsidR="00F40B72" w:rsidRDefault="00F4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sz w:val="24"/>
          <w:szCs w:val="24"/>
          <w:highlight w:val="white"/>
        </w:rPr>
      </w:pPr>
    </w:p>
    <w:p w14:paraId="3BD8C337" w14:textId="77777777" w:rsidR="00F40B72" w:rsidRDefault="00F00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b/>
          <w:sz w:val="24"/>
          <w:szCs w:val="24"/>
        </w:rPr>
      </w:pPr>
      <w:r>
        <w:rPr>
          <w:rFonts w:ascii="Arial" w:eastAsia="Arial" w:hAnsi="Arial" w:cs="Arial"/>
          <w:b/>
          <w:sz w:val="24"/>
          <w:szCs w:val="24"/>
        </w:rPr>
        <w:t>Lukáš Hrábek, tiskový mluvčí Greenpeace ČR, řekl:</w:t>
      </w:r>
    </w:p>
    <w:p w14:paraId="05C5D6EC" w14:textId="77777777" w:rsidR="00F40B72" w:rsidRDefault="00F00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i/>
          <w:sz w:val="24"/>
          <w:szCs w:val="24"/>
        </w:rPr>
      </w:pPr>
      <w:r>
        <w:rPr>
          <w:rFonts w:ascii="Arial" w:eastAsia="Arial" w:hAnsi="Arial" w:cs="Arial"/>
          <w:i/>
          <w:sz w:val="24"/>
          <w:szCs w:val="24"/>
        </w:rPr>
        <w:t>“Trumpovo rozhodnutí vycouvat z plánu pro čistější ovzduší je skandální a ublíží hlavně obyčejným lidem ve Spojených státech. Trump totiž kvůli pochybné podpoře fosilních paliv odmítá opatření, která by zlepšila bezpečnost, zdraví a zaměstnanost obyvatel. Dnes jsme ztratili spojence v úsilí zmírnit dopady klimatických změn, ale tím spíš se Česká republika a celá Evropa musí vzchopit a jít příkladem. I přes rozhodnutí Trumpovy administrativy se rozběhnutá energetická revoluce směrem k obnovitelným zdrojům nezastaví, například nedávné prohlášení a závazky Indie a Číny jsou toho jasným důkazem."</w:t>
      </w:r>
    </w:p>
    <w:p w14:paraId="11D2C938" w14:textId="77777777" w:rsidR="00F40B72" w:rsidRDefault="00F4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rFonts w:ascii="Arial" w:eastAsia="Arial" w:hAnsi="Arial" w:cs="Arial"/>
          <w:sz w:val="24"/>
          <w:szCs w:val="24"/>
          <w:highlight w:val="white"/>
        </w:rPr>
      </w:pPr>
    </w:p>
    <w:p w14:paraId="5E7E26A2" w14:textId="77777777" w:rsidR="00F40B72" w:rsidRDefault="00F00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b/>
          <w:sz w:val="24"/>
          <w:szCs w:val="24"/>
        </w:rPr>
      </w:pPr>
      <w:r>
        <w:rPr>
          <w:rFonts w:ascii="Arial" w:eastAsia="Arial" w:hAnsi="Arial" w:cs="Arial"/>
          <w:b/>
          <w:sz w:val="24"/>
          <w:szCs w:val="24"/>
        </w:rPr>
        <w:t>Klára Sutlovičová z analytického centra Glopolis řekla:</w:t>
      </w:r>
    </w:p>
    <w:p w14:paraId="289D0505" w14:textId="77777777" w:rsidR="00F40B72" w:rsidRDefault="00F00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i/>
          <w:sz w:val="24"/>
          <w:szCs w:val="24"/>
        </w:rPr>
      </w:pPr>
      <w:r>
        <w:rPr>
          <w:rFonts w:ascii="Arial" w:eastAsia="Arial" w:hAnsi="Arial" w:cs="Arial"/>
          <w:i/>
          <w:sz w:val="24"/>
          <w:szCs w:val="24"/>
        </w:rPr>
        <w:t>“Návrat uhlí do hry je asi tak představitelný jako to, že by prezident Trump jezdil do práce na koni. Pokud jsou po ruce levnější možnosti pro výrobu potřebné energie, je to pro americký byznys jasný signál. A že by inovátoři ze Silicon Valley po dnešním Trumpově rozhodnutí začali raději vymýšlet lepší turbíny</w:t>
      </w:r>
      <w:r w:rsidR="00060B93">
        <w:rPr>
          <w:rFonts w:ascii="Arial" w:eastAsia="Arial" w:hAnsi="Arial" w:cs="Arial"/>
          <w:i/>
          <w:sz w:val="24"/>
          <w:szCs w:val="24"/>
        </w:rPr>
        <w:t>, to</w:t>
      </w:r>
      <w:r>
        <w:rPr>
          <w:rFonts w:ascii="Arial" w:eastAsia="Arial" w:hAnsi="Arial" w:cs="Arial"/>
          <w:i/>
          <w:sz w:val="24"/>
          <w:szCs w:val="24"/>
        </w:rPr>
        <w:t xml:space="preserve"> také není moc pravděpodobné.” </w:t>
      </w:r>
    </w:p>
    <w:p w14:paraId="2AD6676F" w14:textId="77777777" w:rsidR="00F40B72" w:rsidRDefault="00F4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rFonts w:ascii="Arial" w:eastAsia="Arial" w:hAnsi="Arial" w:cs="Arial"/>
          <w:sz w:val="24"/>
          <w:szCs w:val="24"/>
          <w:highlight w:val="white"/>
        </w:rPr>
      </w:pPr>
    </w:p>
    <w:p w14:paraId="7E4AE643" w14:textId="77777777" w:rsidR="00060B93" w:rsidRDefault="0006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rFonts w:ascii="Arial" w:eastAsia="Arial" w:hAnsi="Arial" w:cs="Arial"/>
          <w:sz w:val="24"/>
          <w:szCs w:val="24"/>
          <w:highlight w:val="white"/>
        </w:rPr>
      </w:pPr>
    </w:p>
    <w:p w14:paraId="1A70897C" w14:textId="77777777" w:rsidR="00F40B72" w:rsidRDefault="00F00CBB">
      <w:pPr>
        <w:rPr>
          <w:rFonts w:ascii="Arial" w:eastAsia="Arial" w:hAnsi="Arial" w:cs="Arial"/>
          <w:sz w:val="24"/>
          <w:szCs w:val="24"/>
        </w:rPr>
      </w:pPr>
      <w:r>
        <w:rPr>
          <w:rFonts w:ascii="Arial" w:eastAsia="Arial" w:hAnsi="Arial" w:cs="Arial"/>
          <w:b/>
          <w:sz w:val="24"/>
          <w:szCs w:val="24"/>
        </w:rPr>
        <w:t>Kontakty:</w:t>
      </w:r>
    </w:p>
    <w:p w14:paraId="6A57184F" w14:textId="77777777" w:rsidR="00F40B72" w:rsidRDefault="00F40B72">
      <w:pPr>
        <w:rPr>
          <w:rFonts w:ascii="Arial" w:eastAsia="Arial" w:hAnsi="Arial" w:cs="Arial"/>
          <w:sz w:val="24"/>
          <w:szCs w:val="24"/>
        </w:rPr>
      </w:pPr>
    </w:p>
    <w:p w14:paraId="2A4C8CBB" w14:textId="09766151" w:rsidR="00F40B72" w:rsidRDefault="00F00CBB">
      <w:pPr>
        <w:rPr>
          <w:rFonts w:ascii="Arial" w:eastAsia="Arial" w:hAnsi="Arial" w:cs="Arial"/>
          <w:sz w:val="24"/>
          <w:szCs w:val="24"/>
        </w:rPr>
      </w:pPr>
      <w:r>
        <w:rPr>
          <w:rFonts w:ascii="Arial" w:eastAsia="Arial" w:hAnsi="Arial" w:cs="Arial"/>
          <w:b/>
          <w:sz w:val="24"/>
          <w:szCs w:val="24"/>
        </w:rPr>
        <w:t>Jiří Koželouh</w:t>
      </w:r>
      <w:r>
        <w:rPr>
          <w:rFonts w:ascii="Arial" w:eastAsia="Arial" w:hAnsi="Arial" w:cs="Arial"/>
          <w:sz w:val="24"/>
          <w:szCs w:val="24"/>
        </w:rPr>
        <w:t>, programový ředitel Hnutí DUHA, 723 559 495</w:t>
      </w:r>
      <w:r>
        <w:rPr>
          <w:rFonts w:ascii="Arial" w:eastAsia="Arial" w:hAnsi="Arial" w:cs="Arial"/>
          <w:color w:val="222222"/>
          <w:sz w:val="24"/>
          <w:szCs w:val="24"/>
          <w:highlight w:val="white"/>
        </w:rPr>
        <w:t>,</w:t>
      </w:r>
      <w:r>
        <w:rPr>
          <w:rFonts w:ascii="Arial" w:eastAsia="Arial" w:hAnsi="Arial" w:cs="Arial"/>
          <w:sz w:val="24"/>
          <w:szCs w:val="24"/>
        </w:rPr>
        <w:t xml:space="preserve"> </w:t>
      </w:r>
      <w:hyperlink r:id="rId6" w:history="1">
        <w:r w:rsidRPr="00060B93">
          <w:rPr>
            <w:rStyle w:val="Hypertextovodkaz"/>
            <w:rFonts w:ascii="Arial" w:eastAsia="Arial" w:hAnsi="Arial" w:cs="Arial"/>
            <w:sz w:val="24"/>
            <w:szCs w:val="24"/>
          </w:rPr>
          <w:t>jiri.kozelouh@hnutiduha.cz</w:t>
        </w:r>
      </w:hyperlink>
    </w:p>
    <w:p w14:paraId="55BFA957" w14:textId="130CE2D0" w:rsidR="00F40B72" w:rsidRDefault="00F00CBB">
      <w:pPr>
        <w:rPr>
          <w:rFonts w:ascii="Arial" w:eastAsia="Arial" w:hAnsi="Arial" w:cs="Arial"/>
          <w:sz w:val="24"/>
          <w:szCs w:val="24"/>
        </w:rPr>
      </w:pPr>
      <w:r>
        <w:rPr>
          <w:rFonts w:ascii="Arial" w:eastAsia="Arial" w:hAnsi="Arial" w:cs="Arial"/>
          <w:b/>
          <w:sz w:val="24"/>
          <w:szCs w:val="24"/>
        </w:rPr>
        <w:t>Lukáš Hrábek</w:t>
      </w:r>
      <w:r>
        <w:rPr>
          <w:rFonts w:ascii="Arial" w:eastAsia="Arial" w:hAnsi="Arial" w:cs="Arial"/>
          <w:sz w:val="24"/>
          <w:szCs w:val="24"/>
        </w:rPr>
        <w:t xml:space="preserve">, tiskový mluvčí Greenpeace ČR, 603 443 140, </w:t>
      </w:r>
      <w:hyperlink r:id="rId7" w:history="1">
        <w:r w:rsidRPr="00060B93">
          <w:rPr>
            <w:rStyle w:val="Hypertextovodkaz"/>
            <w:rFonts w:ascii="Arial" w:eastAsia="Arial" w:hAnsi="Arial" w:cs="Arial"/>
            <w:sz w:val="24"/>
            <w:szCs w:val="24"/>
          </w:rPr>
          <w:t>lukas.hrabek@greenpeace.org</w:t>
        </w:r>
      </w:hyperlink>
      <w:r>
        <w:rPr>
          <w:rFonts w:ascii="Arial" w:eastAsia="Arial" w:hAnsi="Arial" w:cs="Arial"/>
          <w:sz w:val="24"/>
          <w:szCs w:val="24"/>
        </w:rPr>
        <w:t xml:space="preserve"> </w:t>
      </w:r>
    </w:p>
    <w:p w14:paraId="34D04C6B" w14:textId="49F0B899" w:rsidR="00F40B72" w:rsidRDefault="00F00CBB">
      <w:pPr>
        <w:rPr>
          <w:rFonts w:ascii="Arial" w:eastAsia="Arial" w:hAnsi="Arial" w:cs="Arial"/>
          <w:sz w:val="24"/>
          <w:szCs w:val="24"/>
        </w:rPr>
      </w:pPr>
      <w:r>
        <w:rPr>
          <w:rFonts w:ascii="Arial" w:eastAsia="Arial" w:hAnsi="Arial" w:cs="Arial"/>
          <w:b/>
          <w:sz w:val="24"/>
          <w:szCs w:val="24"/>
        </w:rPr>
        <w:t>Klára Sutlovičová</w:t>
      </w:r>
      <w:r>
        <w:rPr>
          <w:rFonts w:ascii="Arial" w:eastAsia="Arial" w:hAnsi="Arial" w:cs="Arial"/>
          <w:sz w:val="24"/>
          <w:szCs w:val="24"/>
        </w:rPr>
        <w:t xml:space="preserve">, analytické centrum Glopolis, 702 145 177, </w:t>
      </w:r>
      <w:hyperlink r:id="rId8" w:history="1">
        <w:r w:rsidRPr="00060B93">
          <w:rPr>
            <w:rStyle w:val="Hypertextovodkaz"/>
            <w:rFonts w:ascii="Arial" w:eastAsia="Arial" w:hAnsi="Arial" w:cs="Arial"/>
            <w:sz w:val="24"/>
            <w:szCs w:val="24"/>
          </w:rPr>
          <w:t>sutlovicova@glopolis.org</w:t>
        </w:r>
      </w:hyperlink>
    </w:p>
    <w:p w14:paraId="3610683C" w14:textId="3ACB0ABC" w:rsidR="00060B93" w:rsidRPr="00060B93" w:rsidRDefault="00060B93" w:rsidP="00060B93">
      <w:pPr>
        <w:rPr>
          <w:rStyle w:val="Hypertextovodkaz"/>
          <w:rFonts w:ascii="Arial" w:hAnsi="Arial" w:cs="Arial"/>
          <w:sz w:val="24"/>
          <w:szCs w:val="24"/>
          <w:u w:val="none"/>
        </w:rPr>
      </w:pPr>
      <w:r w:rsidRPr="00060B93">
        <w:rPr>
          <w:rStyle w:val="Hypertextovodkaz"/>
          <w:rFonts w:ascii="Arial" w:hAnsi="Arial" w:cs="Arial"/>
          <w:b/>
          <w:bCs/>
          <w:color w:val="auto"/>
          <w:sz w:val="24"/>
          <w:szCs w:val="24"/>
          <w:u w:val="none"/>
        </w:rPr>
        <w:t>Jan Piňos</w:t>
      </w:r>
      <w:r w:rsidRPr="00060B93">
        <w:rPr>
          <w:rStyle w:val="Hypertextovodkaz"/>
          <w:rFonts w:ascii="Arial" w:hAnsi="Arial" w:cs="Arial"/>
          <w:color w:val="auto"/>
          <w:sz w:val="24"/>
          <w:szCs w:val="24"/>
          <w:u w:val="none"/>
        </w:rPr>
        <w:t>, média a komunikace</w:t>
      </w:r>
      <w:r>
        <w:rPr>
          <w:rStyle w:val="Hypertextovodkaz"/>
          <w:rFonts w:ascii="Arial" w:hAnsi="Arial" w:cs="Arial"/>
          <w:color w:val="auto"/>
          <w:sz w:val="24"/>
          <w:szCs w:val="24"/>
          <w:u w:val="none"/>
        </w:rPr>
        <w:t xml:space="preserve"> Hnutí DUHA</w:t>
      </w:r>
      <w:r w:rsidRPr="00060B93">
        <w:rPr>
          <w:rStyle w:val="Hypertextovodkaz"/>
          <w:rFonts w:ascii="Arial" w:hAnsi="Arial" w:cs="Arial"/>
          <w:color w:val="auto"/>
          <w:sz w:val="24"/>
          <w:szCs w:val="24"/>
          <w:u w:val="none"/>
        </w:rPr>
        <w:t xml:space="preserve">, 731 465 279, </w:t>
      </w:r>
      <w:r w:rsidRPr="00060B93">
        <w:rPr>
          <w:rFonts w:ascii="Arial" w:hAnsi="Arial" w:cs="Arial"/>
          <w:sz w:val="24"/>
          <w:szCs w:val="24"/>
        </w:rPr>
        <w:fldChar w:fldCharType="begin"/>
      </w:r>
      <w:r w:rsidR="00037427">
        <w:rPr>
          <w:rFonts w:ascii="Arial" w:hAnsi="Arial" w:cs="Arial"/>
          <w:sz w:val="24"/>
          <w:szCs w:val="24"/>
        </w:rPr>
        <w:instrText>HYPERLINK "C:\\Users\\info\\Downloads\\TZ_Cislo_tydne_23.5_procenta_elektriny_16_3_2017.doc"</w:instrText>
      </w:r>
      <w:r w:rsidR="00037427" w:rsidRPr="00060B93">
        <w:rPr>
          <w:rFonts w:ascii="Arial" w:hAnsi="Arial" w:cs="Arial"/>
          <w:sz w:val="24"/>
          <w:szCs w:val="24"/>
        </w:rPr>
      </w:r>
      <w:r w:rsidRPr="00060B93">
        <w:rPr>
          <w:rFonts w:ascii="Arial" w:hAnsi="Arial" w:cs="Arial"/>
          <w:sz w:val="24"/>
          <w:szCs w:val="24"/>
        </w:rPr>
        <w:fldChar w:fldCharType="separate"/>
      </w:r>
      <w:r w:rsidRPr="00060B93">
        <w:rPr>
          <w:rStyle w:val="Hypertextovodkaz"/>
          <w:rFonts w:ascii="Arial" w:hAnsi="Arial" w:cs="Arial"/>
          <w:sz w:val="24"/>
          <w:szCs w:val="24"/>
          <w:u w:val="none"/>
        </w:rPr>
        <w:t>jan.pinos@hnutiduha.cz</w:t>
      </w:r>
    </w:p>
    <w:p w14:paraId="2E7B8497" w14:textId="77777777" w:rsidR="00060B93" w:rsidRPr="00060B93" w:rsidRDefault="00060B93" w:rsidP="00060B93">
      <w:pPr>
        <w:rPr>
          <w:rStyle w:val="Hypertextovodkaz"/>
          <w:rFonts w:ascii="Arial" w:hAnsi="Arial" w:cs="Arial"/>
          <w:i/>
          <w:noProof/>
          <w:sz w:val="24"/>
          <w:szCs w:val="24"/>
          <w:u w:val="none"/>
        </w:rPr>
      </w:pPr>
    </w:p>
    <w:p w14:paraId="539A5093" w14:textId="77777777" w:rsidR="00F40B72" w:rsidRDefault="00060B93">
      <w:pPr>
        <w:rPr>
          <w:rFonts w:ascii="Arial" w:eastAsia="Arial" w:hAnsi="Arial" w:cs="Arial"/>
          <w:b/>
          <w:sz w:val="24"/>
          <w:szCs w:val="24"/>
        </w:rPr>
      </w:pPr>
      <w:r w:rsidRPr="00060B93">
        <w:rPr>
          <w:rFonts w:ascii="Arial" w:hAnsi="Arial" w:cs="Arial"/>
          <w:sz w:val="24"/>
          <w:szCs w:val="24"/>
        </w:rPr>
        <w:fldChar w:fldCharType="end"/>
      </w:r>
    </w:p>
    <w:p w14:paraId="6211E853" w14:textId="77777777" w:rsidR="00F40B72" w:rsidRDefault="00F00CBB">
      <w:pPr>
        <w:rPr>
          <w:rFonts w:ascii="Arial" w:eastAsia="Arial" w:hAnsi="Arial" w:cs="Arial"/>
          <w:sz w:val="24"/>
          <w:szCs w:val="24"/>
        </w:rPr>
      </w:pPr>
      <w:r>
        <w:rPr>
          <w:rFonts w:ascii="Arial" w:eastAsia="Arial" w:hAnsi="Arial" w:cs="Arial"/>
          <w:b/>
          <w:sz w:val="24"/>
          <w:szCs w:val="24"/>
        </w:rPr>
        <w:t>Poznámky:</w:t>
      </w:r>
    </w:p>
    <w:p w14:paraId="640A9895" w14:textId="77777777" w:rsidR="00F40B72" w:rsidRDefault="00F40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rPr>
          <w:rFonts w:ascii="Arial" w:eastAsia="Arial" w:hAnsi="Arial" w:cs="Arial"/>
          <w:sz w:val="24"/>
          <w:szCs w:val="24"/>
          <w:highlight w:val="white"/>
        </w:rPr>
      </w:pPr>
    </w:p>
    <w:p w14:paraId="058C8392" w14:textId="77777777" w:rsidR="00F40B72" w:rsidRDefault="00F00CBB">
      <w:pPr>
        <w:rPr>
          <w:rFonts w:ascii="Arial" w:eastAsia="Arial" w:hAnsi="Arial" w:cs="Arial"/>
          <w:sz w:val="24"/>
          <w:szCs w:val="24"/>
          <w:highlight w:val="white"/>
        </w:rPr>
      </w:pPr>
      <w:r>
        <w:rPr>
          <w:rFonts w:ascii="Arial" w:eastAsia="Arial" w:hAnsi="Arial" w:cs="Arial"/>
          <w:sz w:val="24"/>
          <w:szCs w:val="24"/>
        </w:rPr>
        <w:t xml:space="preserve">[1] Plán byl zveřejněn 3. 8. 2015. </w:t>
      </w:r>
      <w:r>
        <w:rPr>
          <w:rFonts w:ascii="Arial" w:eastAsia="Arial" w:hAnsi="Arial" w:cs="Arial"/>
          <w:sz w:val="24"/>
          <w:szCs w:val="24"/>
          <w:highlight w:val="white"/>
        </w:rPr>
        <w:t>Nestanovil emisní limity pro jednotlivé elektrárny - každý stát americké unie měl navrhnout vlastní strategii, jak požadovaného snížení emisí dosáhne.</w:t>
      </w:r>
    </w:p>
    <w:p w14:paraId="7AA019AE" w14:textId="77777777" w:rsidR="00F40B72" w:rsidRDefault="00F40B72">
      <w:pPr>
        <w:rPr>
          <w:rFonts w:ascii="Arial" w:eastAsia="Arial" w:hAnsi="Arial" w:cs="Arial"/>
          <w:sz w:val="24"/>
          <w:szCs w:val="24"/>
        </w:rPr>
      </w:pPr>
    </w:p>
    <w:p w14:paraId="6B061767" w14:textId="77777777" w:rsidR="00F40B72" w:rsidRDefault="00F00CBB">
      <w:pPr>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sz w:val="24"/>
          <w:szCs w:val="24"/>
          <w:highlight w:val="white"/>
        </w:rPr>
        <w:t xml:space="preserve">Beyond Coal Milestone - Coal Plant #200 Announced to Retire: </w:t>
      </w:r>
      <w:hyperlink r:id="rId9">
        <w:r>
          <w:rPr>
            <w:rFonts w:ascii="Arial" w:eastAsia="Arial" w:hAnsi="Arial" w:cs="Arial"/>
            <w:color w:val="1155CC"/>
            <w:sz w:val="24"/>
            <w:szCs w:val="24"/>
            <w:u w:val="single"/>
          </w:rPr>
          <w:t>http://www.sierraclub.org/compass/2015/07/beyond-coal-milestone-coal-plant-200-announced-retire</w:t>
        </w:r>
      </w:hyperlink>
      <w:r>
        <w:rPr>
          <w:rFonts w:ascii="Arial" w:eastAsia="Arial" w:hAnsi="Arial" w:cs="Arial"/>
          <w:sz w:val="24"/>
          <w:szCs w:val="24"/>
        </w:rPr>
        <w:t xml:space="preserve"> </w:t>
      </w:r>
    </w:p>
    <w:p w14:paraId="63BCB989" w14:textId="77777777" w:rsidR="00F40B72" w:rsidRDefault="00F40B72">
      <w:pPr>
        <w:rPr>
          <w:rFonts w:ascii="Arial" w:eastAsia="Arial" w:hAnsi="Arial" w:cs="Arial"/>
          <w:sz w:val="24"/>
          <w:szCs w:val="24"/>
        </w:rPr>
      </w:pPr>
    </w:p>
    <w:p w14:paraId="5A26A4FE" w14:textId="77777777" w:rsidR="00F40B72" w:rsidRDefault="00F00CBB">
      <w:pPr>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color w:val="111111"/>
          <w:sz w:val="24"/>
          <w:szCs w:val="24"/>
        </w:rPr>
        <w:t xml:space="preserve">Two Ohio coal-fired plants to close, deepening industry decline: </w:t>
      </w:r>
      <w:hyperlink r:id="rId10">
        <w:r>
          <w:rPr>
            <w:rFonts w:ascii="Arial" w:eastAsia="Arial" w:hAnsi="Arial" w:cs="Arial"/>
            <w:color w:val="1155CC"/>
            <w:sz w:val="24"/>
            <w:szCs w:val="24"/>
            <w:u w:val="single"/>
          </w:rPr>
          <w:t>http://www.reuters.com/article/us-usa-coal-closures-idUSKBN16R2D4</w:t>
        </w:r>
      </w:hyperlink>
      <w:r>
        <w:rPr>
          <w:rFonts w:ascii="Arial" w:eastAsia="Arial" w:hAnsi="Arial" w:cs="Arial"/>
          <w:sz w:val="24"/>
          <w:szCs w:val="24"/>
        </w:rPr>
        <w:t xml:space="preserve"> </w:t>
      </w:r>
    </w:p>
    <w:p w14:paraId="17949784" w14:textId="77777777" w:rsidR="00F40B72" w:rsidRDefault="00F40B72">
      <w:pPr>
        <w:rPr>
          <w:rFonts w:ascii="Arial" w:eastAsia="Arial" w:hAnsi="Arial" w:cs="Arial"/>
          <w:sz w:val="24"/>
          <w:szCs w:val="24"/>
        </w:rPr>
      </w:pPr>
    </w:p>
    <w:p w14:paraId="3A85645E" w14:textId="77777777" w:rsidR="00F40B72" w:rsidRDefault="00F00CBB">
      <w:pPr>
        <w:rPr>
          <w:rFonts w:ascii="Arial" w:eastAsia="Arial" w:hAnsi="Arial" w:cs="Arial"/>
          <w:sz w:val="24"/>
          <w:szCs w:val="24"/>
        </w:rPr>
      </w:pPr>
      <w:r>
        <w:rPr>
          <w:rFonts w:ascii="Arial" w:eastAsia="Arial" w:hAnsi="Arial" w:cs="Arial"/>
          <w:sz w:val="24"/>
          <w:szCs w:val="24"/>
        </w:rPr>
        <w:t xml:space="preserve">[4] </w:t>
      </w:r>
      <w:r>
        <w:rPr>
          <w:rFonts w:ascii="Arial" w:eastAsia="Arial" w:hAnsi="Arial" w:cs="Arial"/>
          <w:sz w:val="24"/>
          <w:szCs w:val="24"/>
          <w:highlight w:val="white"/>
        </w:rPr>
        <w:t xml:space="preserve">Trump May Be Offering Coal Leases That No One Wants </w:t>
      </w:r>
      <w:hyperlink r:id="rId11">
        <w:r>
          <w:rPr>
            <w:rFonts w:ascii="Arial" w:eastAsia="Arial" w:hAnsi="Arial" w:cs="Arial"/>
            <w:color w:val="1155CC"/>
            <w:sz w:val="24"/>
            <w:szCs w:val="24"/>
            <w:u w:val="single"/>
          </w:rPr>
          <w:t>https://www.bloomberg.com/news/articles/2017-03-27/trump-may-be-offering-coal-leases-that-no-one-wants-right-now</w:t>
        </w:r>
      </w:hyperlink>
      <w:r>
        <w:rPr>
          <w:rFonts w:ascii="Arial" w:eastAsia="Arial" w:hAnsi="Arial" w:cs="Arial"/>
          <w:sz w:val="24"/>
          <w:szCs w:val="24"/>
        </w:rPr>
        <w:t xml:space="preserve"> </w:t>
      </w:r>
    </w:p>
    <w:p w14:paraId="2A683394" w14:textId="77777777" w:rsidR="00F40B72" w:rsidRDefault="00F40B72">
      <w:pPr>
        <w:rPr>
          <w:rFonts w:ascii="Arial" w:eastAsia="Arial" w:hAnsi="Arial" w:cs="Arial"/>
          <w:sz w:val="24"/>
          <w:szCs w:val="24"/>
        </w:rPr>
      </w:pPr>
    </w:p>
    <w:p w14:paraId="7A8F8EE7" w14:textId="77777777" w:rsidR="00F40B72" w:rsidRDefault="00F00CBB">
      <w:pPr>
        <w:rPr>
          <w:rFonts w:ascii="Arial" w:eastAsia="Arial" w:hAnsi="Arial" w:cs="Arial"/>
          <w:sz w:val="24"/>
          <w:szCs w:val="24"/>
        </w:rPr>
      </w:pPr>
      <w:r>
        <w:rPr>
          <w:rFonts w:ascii="Arial" w:eastAsia="Arial" w:hAnsi="Arial" w:cs="Arial"/>
          <w:sz w:val="24"/>
          <w:szCs w:val="24"/>
        </w:rPr>
        <w:t xml:space="preserve">[5] Kalifornie má za cíl do roku 2030 snížit emise o 40 % oproti úrovni v roce 1990. Stát New York má stejný cíl. Ostatní uvedené státy podepsaly “Memorandum of Understanding on Subnational Global Climate Leadership”, které je zavazuje do poloviny století snížit emise o 80-95 % (oproti roku 1990). </w:t>
      </w:r>
      <w:hyperlink r:id="rId12">
        <w:r>
          <w:rPr>
            <w:rFonts w:ascii="Arial" w:eastAsia="Arial" w:hAnsi="Arial" w:cs="Arial"/>
            <w:color w:val="1155CC"/>
            <w:sz w:val="24"/>
            <w:szCs w:val="24"/>
            <w:u w:val="single"/>
          </w:rPr>
          <w:t>http://under2mou.org/coalition/</w:t>
        </w:r>
      </w:hyperlink>
    </w:p>
    <w:p w14:paraId="706A2176" w14:textId="77777777" w:rsidR="00F40B72" w:rsidRDefault="00F40B72">
      <w:pPr>
        <w:rPr>
          <w:rFonts w:ascii="Arial" w:eastAsia="Arial" w:hAnsi="Arial" w:cs="Arial"/>
          <w:sz w:val="24"/>
          <w:szCs w:val="24"/>
        </w:rPr>
      </w:pPr>
    </w:p>
    <w:p w14:paraId="32929B49" w14:textId="77777777" w:rsidR="00F40B72" w:rsidRDefault="00F40B72">
      <w:pPr>
        <w:rPr>
          <w:rFonts w:ascii="Arial" w:eastAsia="Arial" w:hAnsi="Arial" w:cs="Arial"/>
          <w:sz w:val="24"/>
          <w:szCs w:val="24"/>
        </w:rPr>
      </w:pPr>
    </w:p>
    <w:sectPr w:rsidR="00F40B72">
      <w:headerReference w:type="default" r:id="rId13"/>
      <w:footerReference w:type="default" r:id="rId14"/>
      <w:headerReference w:type="first" r:id="rId15"/>
      <w:footerReference w:type="first" r:id="rId16"/>
      <w:pgSz w:w="11905" w:h="16837"/>
      <w:pgMar w:top="1258" w:right="851" w:bottom="1418" w:left="851" w:header="0"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5AB0C" w14:textId="77777777" w:rsidR="00084CD6" w:rsidRDefault="00084CD6">
      <w:r>
        <w:separator/>
      </w:r>
    </w:p>
  </w:endnote>
  <w:endnote w:type="continuationSeparator" w:id="0">
    <w:p w14:paraId="5F214580" w14:textId="77777777" w:rsidR="00084CD6" w:rsidRDefault="0008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tineau">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CF9C3" w14:textId="77777777" w:rsidR="00F40B72" w:rsidRDefault="00F40B72">
    <w:pPr>
      <w:jc w:val="center"/>
      <w:rPr>
        <w:rFonts w:ascii="Gatineau" w:eastAsia="Gatineau" w:hAnsi="Gatineau" w:cs="Gatineau"/>
      </w:rPr>
    </w:pPr>
  </w:p>
  <w:p w14:paraId="0756800A" w14:textId="77777777" w:rsidR="00F40B72" w:rsidRDefault="00F40B72">
    <w:pPr>
      <w:jc w:val="center"/>
      <w:rPr>
        <w:rFonts w:ascii="Gatineau" w:eastAsia="Gatineau" w:hAnsi="Gatineau" w:cs="Gatineau"/>
      </w:rPr>
    </w:pPr>
  </w:p>
  <w:p w14:paraId="1C7ABD14" w14:textId="77777777" w:rsidR="00F40B72" w:rsidRDefault="00F40B72">
    <w:pPr>
      <w:spacing w:after="527"/>
      <w:jc w:val="center"/>
      <w:rPr>
        <w:rFonts w:ascii="Gatineau" w:eastAsia="Gatineau" w:hAnsi="Gatineau" w:cs="Gatine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B0A2" w14:textId="77777777" w:rsidR="00F40B72" w:rsidRDefault="00F40B72">
    <w:pPr>
      <w:tabs>
        <w:tab w:val="center" w:pos="4536"/>
        <w:tab w:val="right" w:pos="9072"/>
      </w:tabs>
      <w:spacing w:after="52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4D36F" w14:textId="77777777" w:rsidR="00084CD6" w:rsidRDefault="00084CD6">
      <w:r>
        <w:separator/>
      </w:r>
    </w:p>
  </w:footnote>
  <w:footnote w:type="continuationSeparator" w:id="0">
    <w:p w14:paraId="2D033003" w14:textId="77777777" w:rsidR="00084CD6" w:rsidRDefault="0008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04C6" w14:textId="77777777" w:rsidR="00F40B72" w:rsidRDefault="00F00CBB">
    <w:pPr>
      <w:tabs>
        <w:tab w:val="center" w:pos="4536"/>
        <w:tab w:val="right" w:pos="9072"/>
      </w:tabs>
      <w:spacing w:before="709"/>
      <w:jc w:val="both"/>
      <w:rPr>
        <w:sz w:val="36"/>
        <w:szCs w:val="36"/>
      </w:rPr>
    </w:pPr>
    <w:r>
      <w:rPr>
        <w:sz w:val="36"/>
        <w:szCs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DD51" w14:textId="77777777" w:rsidR="00F40B72" w:rsidRDefault="00F00CBB">
    <w:pPr>
      <w:tabs>
        <w:tab w:val="center" w:pos="4536"/>
        <w:tab w:val="right" w:pos="9072"/>
      </w:tabs>
      <w:spacing w:before="709"/>
      <w:rPr>
        <w:sz w:val="24"/>
        <w:szCs w:val="24"/>
      </w:rPr>
    </w:pPr>
    <w:r>
      <w:rPr>
        <w:noProof/>
      </w:rPr>
      <w:drawing>
        <wp:anchor distT="114300" distB="114300" distL="114300" distR="114300" simplePos="0" relativeHeight="251658240" behindDoc="0" locked="0" layoutInCell="0" hidden="0" allowOverlap="1" wp14:anchorId="166B597A" wp14:editId="2F546C39">
          <wp:simplePos x="0" y="0"/>
          <wp:positionH relativeFrom="margin">
            <wp:posOffset>4471988</wp:posOffset>
          </wp:positionH>
          <wp:positionV relativeFrom="paragraph">
            <wp:posOffset>752475</wp:posOffset>
          </wp:positionV>
          <wp:extent cx="1759085" cy="833438"/>
          <wp:effectExtent l="0" t="0" r="0" b="0"/>
          <wp:wrapTopAndBottom distT="114300" distB="114300"/>
          <wp:docPr id="4" name="image07.jpg" descr="logo_klimakoalice_mensi.jpg"/>
          <wp:cNvGraphicFramePr/>
          <a:graphic xmlns:a="http://schemas.openxmlformats.org/drawingml/2006/main">
            <a:graphicData uri="http://schemas.openxmlformats.org/drawingml/2006/picture">
              <pic:pic xmlns:pic="http://schemas.openxmlformats.org/drawingml/2006/picture">
                <pic:nvPicPr>
                  <pic:cNvPr id="0" name="image07.jpg" descr="logo_klimakoalice_mensi.jpg"/>
                  <pic:cNvPicPr preferRelativeResize="0"/>
                </pic:nvPicPr>
                <pic:blipFill>
                  <a:blip r:embed="rId1"/>
                  <a:srcRect/>
                  <a:stretch>
                    <a:fillRect/>
                  </a:stretch>
                </pic:blipFill>
                <pic:spPr>
                  <a:xfrm>
                    <a:off x="0" y="0"/>
                    <a:ext cx="1759085" cy="833438"/>
                  </a:xfrm>
                  <a:prstGeom prst="rect">
                    <a:avLst/>
                  </a:prstGeom>
                  <a:ln/>
                </pic:spPr>
              </pic:pic>
            </a:graphicData>
          </a:graphic>
        </wp:anchor>
      </w:drawing>
    </w:r>
    <w:r>
      <w:rPr>
        <w:noProof/>
      </w:rPr>
      <w:drawing>
        <wp:anchor distT="114300" distB="114300" distL="114300" distR="114300" simplePos="0" relativeHeight="251659264" behindDoc="0" locked="0" layoutInCell="0" hidden="0" allowOverlap="1" wp14:anchorId="54C88472" wp14:editId="2B8DFD08">
          <wp:simplePos x="0" y="0"/>
          <wp:positionH relativeFrom="margin">
            <wp:posOffset>4438650</wp:posOffset>
          </wp:positionH>
          <wp:positionV relativeFrom="paragraph">
            <wp:posOffset>114300</wp:posOffset>
          </wp:positionV>
          <wp:extent cx="1828800" cy="276225"/>
          <wp:effectExtent l="0" t="0" r="0" b="0"/>
          <wp:wrapTopAndBottom distT="114300" distB="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2"/>
                  <a:srcRect/>
                  <a:stretch>
                    <a:fillRect/>
                  </a:stretch>
                </pic:blipFill>
                <pic:spPr>
                  <a:xfrm>
                    <a:off x="0" y="0"/>
                    <a:ext cx="1828800" cy="276225"/>
                  </a:xfrm>
                  <a:prstGeom prst="rect">
                    <a:avLst/>
                  </a:prstGeom>
                  <a:ln/>
                </pic:spPr>
              </pic:pic>
            </a:graphicData>
          </a:graphic>
        </wp:anchor>
      </w:drawing>
    </w:r>
    <w:r>
      <w:rPr>
        <w:noProof/>
      </w:rPr>
      <w:drawing>
        <wp:anchor distT="114300" distB="114300" distL="114300" distR="114300" simplePos="0" relativeHeight="251660288" behindDoc="0" locked="0" layoutInCell="0" hidden="0" allowOverlap="1" wp14:anchorId="0130D9CD" wp14:editId="4A20424C">
          <wp:simplePos x="0" y="0"/>
          <wp:positionH relativeFrom="margin">
            <wp:posOffset>2314575</wp:posOffset>
          </wp:positionH>
          <wp:positionV relativeFrom="paragraph">
            <wp:posOffset>457200</wp:posOffset>
          </wp:positionV>
          <wp:extent cx="1714500" cy="438150"/>
          <wp:effectExtent l="0" t="0" r="0" b="0"/>
          <wp:wrapTopAndBottom distT="114300" distB="11430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3"/>
                  <a:srcRect/>
                  <a:stretch>
                    <a:fillRect/>
                  </a:stretch>
                </pic:blipFill>
                <pic:spPr>
                  <a:xfrm>
                    <a:off x="0" y="0"/>
                    <a:ext cx="1714500" cy="438150"/>
                  </a:xfrm>
                  <a:prstGeom prst="rect">
                    <a:avLst/>
                  </a:prstGeom>
                  <a:ln/>
                </pic:spPr>
              </pic:pic>
            </a:graphicData>
          </a:graphic>
        </wp:anchor>
      </w:drawing>
    </w:r>
    <w:r>
      <w:rPr>
        <w:noProof/>
      </w:rPr>
      <w:drawing>
        <wp:anchor distT="114300" distB="114300" distL="114300" distR="114300" simplePos="0" relativeHeight="251661312" behindDoc="0" locked="0" layoutInCell="0" hidden="0" allowOverlap="1" wp14:anchorId="529C399F" wp14:editId="4E5B702A">
          <wp:simplePos x="0" y="0"/>
          <wp:positionH relativeFrom="margin">
            <wp:posOffset>-133349</wp:posOffset>
          </wp:positionH>
          <wp:positionV relativeFrom="paragraph">
            <wp:posOffset>962025</wp:posOffset>
          </wp:positionV>
          <wp:extent cx="1397952" cy="420150"/>
          <wp:effectExtent l="0" t="0" r="0" b="0"/>
          <wp:wrapTopAndBottom distT="114300" distB="114300"/>
          <wp:docPr id="5" name="image09.png" descr="logo_glopolis_web_word.png"/>
          <wp:cNvGraphicFramePr/>
          <a:graphic xmlns:a="http://schemas.openxmlformats.org/drawingml/2006/main">
            <a:graphicData uri="http://schemas.openxmlformats.org/drawingml/2006/picture">
              <pic:pic xmlns:pic="http://schemas.openxmlformats.org/drawingml/2006/picture">
                <pic:nvPicPr>
                  <pic:cNvPr id="0" name="image09.png" descr="logo_glopolis_web_word.png"/>
                  <pic:cNvPicPr preferRelativeResize="0"/>
                </pic:nvPicPr>
                <pic:blipFill>
                  <a:blip r:embed="rId4"/>
                  <a:srcRect/>
                  <a:stretch>
                    <a:fillRect/>
                  </a:stretch>
                </pic:blipFill>
                <pic:spPr>
                  <a:xfrm>
                    <a:off x="0" y="0"/>
                    <a:ext cx="1397952" cy="420150"/>
                  </a:xfrm>
                  <a:prstGeom prst="rect">
                    <a:avLst/>
                  </a:prstGeom>
                  <a:ln/>
                </pic:spPr>
              </pic:pic>
            </a:graphicData>
          </a:graphic>
        </wp:anchor>
      </w:drawing>
    </w:r>
    <w:r>
      <w:rPr>
        <w:noProof/>
      </w:rPr>
      <w:drawing>
        <wp:anchor distT="0" distB="0" distL="0" distR="0" simplePos="0" relativeHeight="251662336" behindDoc="0" locked="0" layoutInCell="0" hidden="0" allowOverlap="1" wp14:anchorId="24EAC836" wp14:editId="5E0F87FF">
          <wp:simplePos x="0" y="0"/>
          <wp:positionH relativeFrom="margin">
            <wp:posOffset>-19049</wp:posOffset>
          </wp:positionH>
          <wp:positionV relativeFrom="paragraph">
            <wp:posOffset>0</wp:posOffset>
          </wp:positionV>
          <wp:extent cx="2279015" cy="819150"/>
          <wp:effectExtent l="0" t="0" r="0" b="0"/>
          <wp:wrapTopAndBottom distT="0" distB="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5"/>
                  <a:srcRect r="64968"/>
                  <a:stretch>
                    <a:fillRect/>
                  </a:stretch>
                </pic:blipFill>
                <pic:spPr>
                  <a:xfrm>
                    <a:off x="0" y="0"/>
                    <a:ext cx="2279015" cy="8191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72"/>
    <w:rsid w:val="00037427"/>
    <w:rsid w:val="00060B93"/>
    <w:rsid w:val="00084CD6"/>
    <w:rsid w:val="006D3757"/>
    <w:rsid w:val="00D570B9"/>
    <w:rsid w:val="00F00CBB"/>
    <w:rsid w:val="00F40B72"/>
    <w:rsid w:val="00F956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40A37"/>
  <w15:docId w15:val="{F1A3B9B0-63EB-4B9A-B5DB-C985B8C8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sz w:val="22"/>
      <w:szCs w:val="22"/>
    </w:rPr>
  </w:style>
  <w:style w:type="paragraph" w:styleId="Nadpis6">
    <w:name w:val="heading 6"/>
    <w:basedOn w:val="Normln"/>
    <w:next w:val="Normln"/>
    <w:pPr>
      <w:keepNext/>
      <w:keepLines/>
      <w:spacing w:before="200" w:after="40"/>
      <w:contextualSpacing/>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szCs w:val="7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6D3757"/>
    <w:rPr>
      <w:rFonts w:ascii="Tahoma" w:hAnsi="Tahoma" w:cs="Tahoma"/>
      <w:sz w:val="16"/>
      <w:szCs w:val="16"/>
    </w:rPr>
  </w:style>
  <w:style w:type="character" w:customStyle="1" w:styleId="TextbublinyChar">
    <w:name w:val="Text bubliny Char"/>
    <w:basedOn w:val="Standardnpsmoodstavce"/>
    <w:link w:val="Textbubliny"/>
    <w:uiPriority w:val="99"/>
    <w:semiHidden/>
    <w:rsid w:val="006D3757"/>
    <w:rPr>
      <w:rFonts w:ascii="Tahoma" w:hAnsi="Tahoma" w:cs="Tahoma"/>
      <w:sz w:val="16"/>
      <w:szCs w:val="16"/>
    </w:rPr>
  </w:style>
  <w:style w:type="character" w:styleId="Hypertextovodkaz">
    <w:name w:val="Hyperlink"/>
    <w:rsid w:val="00060B93"/>
    <w:rPr>
      <w:color w:val="99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info\Downloads\sutlovicova@glopolis.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info\Downloads\lukas.hrabek@greenpeace.org" TargetMode="External"/><Relationship Id="rId12" Type="http://schemas.openxmlformats.org/officeDocument/2006/relationships/hyperlink" Target="http://under2mou.org/coalit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C:\Users\info\Downloads\jiri.kozelouh@hnutiduha.cz" TargetMode="External"/><Relationship Id="rId11" Type="http://schemas.openxmlformats.org/officeDocument/2006/relationships/hyperlink" Target="https://www.bloomberg.com/news/articles/2017-03-27/trump-may-be-offering-coal-leases-that-no-one-wants-right-now"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reuters.com/article/us-usa-coal-closures-idUSKBN16R2D4" TargetMode="External"/><Relationship Id="rId4" Type="http://schemas.openxmlformats.org/officeDocument/2006/relationships/footnotes" Target="footnotes.xml"/><Relationship Id="rId9" Type="http://schemas.openxmlformats.org/officeDocument/2006/relationships/hyperlink" Target="http://www.sierraclub.org/compass/2015/07/beyond-coal-milestone-coal-plant-200-announced-retir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5056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CTS Europe</dc:creator>
  <cp:lastModifiedBy>Marek Kormanos</cp:lastModifiedBy>
  <cp:revision>2</cp:revision>
  <dcterms:created xsi:type="dcterms:W3CDTF">2020-04-07T21:21:00Z</dcterms:created>
  <dcterms:modified xsi:type="dcterms:W3CDTF">2020-04-07T21:21:00Z</dcterms:modified>
</cp:coreProperties>
</file>